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D7" w:rsidRPr="0051126A" w:rsidRDefault="0051126A" w:rsidP="0051126A">
      <w:pPr>
        <w:jc w:val="center"/>
        <w:rPr>
          <w:sz w:val="24"/>
          <w:szCs w:val="24"/>
          <w:u w:val="single"/>
        </w:rPr>
      </w:pPr>
      <w:bookmarkStart w:id="0" w:name="_GoBack"/>
      <w:bookmarkEnd w:id="0"/>
      <w:r w:rsidRPr="0051126A">
        <w:rPr>
          <w:sz w:val="24"/>
          <w:szCs w:val="24"/>
          <w:u w:val="single"/>
        </w:rPr>
        <w:t>Visual Literacy, Critical Thinking and Academic Conversations</w:t>
      </w:r>
    </w:p>
    <w:p w:rsidR="00165369" w:rsidRDefault="0051126A">
      <w:pPr>
        <w:rPr>
          <w:sz w:val="24"/>
          <w:szCs w:val="24"/>
        </w:rPr>
      </w:pPr>
      <w:r w:rsidRPr="0051126A">
        <w:rPr>
          <w:sz w:val="24"/>
          <w:szCs w:val="24"/>
        </w:rPr>
        <w:t xml:space="preserve">Any of the </w:t>
      </w:r>
      <w:proofErr w:type="spellStart"/>
      <w:r w:rsidRPr="0051126A">
        <w:rPr>
          <w:sz w:val="24"/>
          <w:szCs w:val="24"/>
        </w:rPr>
        <w:t>powerpoints</w:t>
      </w:r>
      <w:proofErr w:type="spellEnd"/>
      <w:r w:rsidRPr="0051126A">
        <w:rPr>
          <w:sz w:val="24"/>
          <w:szCs w:val="24"/>
        </w:rPr>
        <w:t xml:space="preserve"> created on the Conclave can be used to foster visual </w:t>
      </w:r>
      <w:r w:rsidR="00165369">
        <w:rPr>
          <w:sz w:val="24"/>
          <w:szCs w:val="24"/>
        </w:rPr>
        <w:t>literacy, critical literacy</w:t>
      </w:r>
      <w:r w:rsidRPr="0051126A">
        <w:rPr>
          <w:sz w:val="24"/>
          <w:szCs w:val="24"/>
        </w:rPr>
        <w:t xml:space="preserve">, </w:t>
      </w:r>
      <w:r w:rsidR="00165369">
        <w:rPr>
          <w:sz w:val="24"/>
          <w:szCs w:val="24"/>
        </w:rPr>
        <w:t>religious literacy and</w:t>
      </w:r>
      <w:r w:rsidRPr="0051126A">
        <w:rPr>
          <w:sz w:val="24"/>
          <w:szCs w:val="24"/>
        </w:rPr>
        <w:t xml:space="preserve"> the skills </w:t>
      </w:r>
      <w:r w:rsidR="00165369">
        <w:rPr>
          <w:sz w:val="24"/>
          <w:szCs w:val="24"/>
        </w:rPr>
        <w:t>needed for</w:t>
      </w:r>
      <w:r w:rsidRPr="0051126A">
        <w:rPr>
          <w:sz w:val="24"/>
          <w:szCs w:val="24"/>
        </w:rPr>
        <w:t xml:space="preserve"> academic conversations.</w:t>
      </w:r>
    </w:p>
    <w:p w:rsidR="00165369" w:rsidRDefault="00165369" w:rsidP="00165369">
      <w:pPr>
        <w:spacing w:before="240"/>
      </w:pPr>
      <w:r w:rsidRPr="00165369">
        <w:rPr>
          <w:rFonts w:eastAsia="Times New Roman" w:cs="Arial"/>
          <w:sz w:val="24"/>
          <w:szCs w:val="24"/>
        </w:rPr>
        <w:t>Visual literacy</w:t>
      </w:r>
      <w:r>
        <w:rPr>
          <w:rFonts w:eastAsia="Times New Roman" w:cs="Arial"/>
          <w:sz w:val="24"/>
          <w:szCs w:val="24"/>
        </w:rPr>
        <w:t xml:space="preserve"> </w:t>
      </w:r>
      <w:r w:rsidRPr="00165369">
        <w:rPr>
          <w:rFonts w:eastAsia="Times New Roman" w:cs="Arial"/>
          <w:sz w:val="24"/>
          <w:szCs w:val="24"/>
        </w:rPr>
        <w:t>is the ability to understand and interpret the representation and symbolism of</w:t>
      </w:r>
      <w:r>
        <w:rPr>
          <w:rFonts w:eastAsia="Times New Roman" w:cs="Arial"/>
          <w:sz w:val="24"/>
          <w:szCs w:val="24"/>
        </w:rPr>
        <w:t xml:space="preserve"> </w:t>
      </w:r>
      <w:r w:rsidRPr="00165369">
        <w:rPr>
          <w:rFonts w:eastAsia="Times New Roman" w:cs="Arial"/>
          <w:sz w:val="24"/>
          <w:szCs w:val="24"/>
        </w:rPr>
        <w:t>static or moving visual images (i.e., the ways in which images are organized and constructed</w:t>
      </w:r>
      <w:r>
        <w:rPr>
          <w:rFonts w:eastAsia="Times New Roman" w:cs="Arial"/>
          <w:sz w:val="24"/>
          <w:szCs w:val="24"/>
        </w:rPr>
        <w:t xml:space="preserve"> </w:t>
      </w:r>
      <w:r w:rsidRPr="00165369">
        <w:rPr>
          <w:rFonts w:eastAsia="Times New Roman" w:cs="Arial"/>
          <w:sz w:val="24"/>
          <w:szCs w:val="24"/>
        </w:rPr>
        <w:t>to make meaning) and to understand the impact of images on viewers.</w:t>
      </w:r>
      <w:r>
        <w:rPr>
          <w:rFonts w:eastAsia="Times New Roman" w:cs="Arial"/>
          <w:sz w:val="24"/>
          <w:szCs w:val="24"/>
        </w:rPr>
        <w:t xml:space="preserve"> (h</w:t>
      </w:r>
      <w:r w:rsidRPr="00D14866">
        <w:t>ttp://www.catholiceducation.org/articles/lesson_plans/lp0008.html</w:t>
      </w:r>
      <w:r>
        <w:t>)</w:t>
      </w:r>
    </w:p>
    <w:p w:rsidR="00165369" w:rsidRPr="00165369" w:rsidRDefault="00165369" w:rsidP="00165369">
      <w:pPr>
        <w:spacing w:after="0" w:line="240" w:lineRule="auto"/>
        <w:rPr>
          <w:rFonts w:eastAsia="Times New Roman" w:cs="Arial"/>
          <w:sz w:val="24"/>
          <w:szCs w:val="24"/>
        </w:rPr>
      </w:pPr>
    </w:p>
    <w:p w:rsidR="00165369" w:rsidRDefault="00165369" w:rsidP="00165369">
      <w:pPr>
        <w:spacing w:after="0" w:line="240" w:lineRule="auto"/>
        <w:rPr>
          <w:rFonts w:eastAsia="Times New Roman" w:cs="Arial"/>
          <w:sz w:val="24"/>
          <w:szCs w:val="24"/>
        </w:rPr>
      </w:pPr>
      <w:r>
        <w:rPr>
          <w:rFonts w:eastAsia="Times New Roman" w:cs="Arial"/>
          <w:sz w:val="24"/>
          <w:szCs w:val="24"/>
        </w:rPr>
        <w:t xml:space="preserve">Critical literacy </w:t>
      </w:r>
      <w:r w:rsidRPr="00165369">
        <w:rPr>
          <w:rFonts w:eastAsia="Times New Roman" w:cs="Arial"/>
          <w:sz w:val="24"/>
          <w:szCs w:val="24"/>
        </w:rPr>
        <w:t>is a process of looking beyond the literal meaning of texts to observe what</w:t>
      </w:r>
      <w:r>
        <w:rPr>
          <w:rFonts w:eastAsia="Times New Roman" w:cs="Arial"/>
          <w:sz w:val="24"/>
          <w:szCs w:val="24"/>
        </w:rPr>
        <w:t xml:space="preserve"> is</w:t>
      </w:r>
      <w:r w:rsidRPr="00165369">
        <w:rPr>
          <w:rFonts w:eastAsia="Times New Roman" w:cs="Arial"/>
          <w:sz w:val="24"/>
          <w:szCs w:val="24"/>
        </w:rPr>
        <w:t xml:space="preserve"> present and what is missing, and thereby to analyse and evaluate the meaning and the</w:t>
      </w:r>
      <w:r>
        <w:rPr>
          <w:rFonts w:eastAsia="Times New Roman" w:cs="Arial"/>
          <w:sz w:val="24"/>
          <w:szCs w:val="24"/>
        </w:rPr>
        <w:t xml:space="preserve"> </w:t>
      </w:r>
      <w:r w:rsidRPr="00165369">
        <w:rPr>
          <w:rFonts w:eastAsia="Times New Roman" w:cs="Arial"/>
          <w:sz w:val="24"/>
          <w:szCs w:val="24"/>
        </w:rPr>
        <w:t>author’s intent. Critical literacy goes beyond conventional critical thinking because it focuses</w:t>
      </w:r>
      <w:r>
        <w:rPr>
          <w:rFonts w:eastAsia="Times New Roman" w:cs="Arial"/>
          <w:sz w:val="24"/>
          <w:szCs w:val="24"/>
        </w:rPr>
        <w:t xml:space="preserve"> </w:t>
      </w:r>
      <w:r w:rsidRPr="00165369">
        <w:rPr>
          <w:rFonts w:eastAsia="Times New Roman" w:cs="Arial"/>
          <w:sz w:val="24"/>
          <w:szCs w:val="24"/>
        </w:rPr>
        <w:t>on issues related to fairness, equity, and social justice. Students take a critical attitude by asking what view of the world the text advances and whether they find this view acceptabl</w:t>
      </w:r>
      <w:r>
        <w:rPr>
          <w:rFonts w:eastAsia="Times New Roman" w:cs="Arial"/>
          <w:sz w:val="24"/>
          <w:szCs w:val="24"/>
        </w:rPr>
        <w:t>e.</w:t>
      </w:r>
    </w:p>
    <w:p w:rsidR="00165369" w:rsidRPr="00165369" w:rsidRDefault="00165369" w:rsidP="00165369">
      <w:pPr>
        <w:spacing w:after="0" w:line="240" w:lineRule="auto"/>
        <w:rPr>
          <w:rFonts w:eastAsia="Times New Roman" w:cs="Arial"/>
          <w:sz w:val="24"/>
          <w:szCs w:val="24"/>
        </w:rPr>
      </w:pPr>
      <w:r>
        <w:rPr>
          <w:rFonts w:eastAsia="Times New Roman" w:cs="Arial"/>
          <w:sz w:val="24"/>
          <w:szCs w:val="24"/>
        </w:rPr>
        <w:t>(h</w:t>
      </w:r>
      <w:r w:rsidRPr="00D14866">
        <w:t>ttp://www.catholiceducation.org/articles/lesson_plans/lp0008.html</w:t>
      </w:r>
      <w:r>
        <w:t>)</w:t>
      </w:r>
    </w:p>
    <w:p w:rsidR="00165369" w:rsidRDefault="00165369" w:rsidP="00165369">
      <w:pPr>
        <w:rPr>
          <w:sz w:val="24"/>
          <w:szCs w:val="24"/>
        </w:rPr>
      </w:pPr>
    </w:p>
    <w:p w:rsidR="00165369" w:rsidRPr="00165369" w:rsidRDefault="00165369" w:rsidP="00165369">
      <w:pPr>
        <w:rPr>
          <w:sz w:val="24"/>
          <w:szCs w:val="24"/>
        </w:rPr>
      </w:pPr>
      <w:r>
        <w:rPr>
          <w:sz w:val="24"/>
          <w:szCs w:val="24"/>
        </w:rPr>
        <w:t xml:space="preserve">Religious Literacy </w:t>
      </w:r>
      <w:r w:rsidR="00E74F00">
        <w:rPr>
          <w:sz w:val="24"/>
          <w:szCs w:val="24"/>
        </w:rPr>
        <w:t xml:space="preserve">is the language of Religious Education. It is the literacy needed to understand Sacred Scripture, the main tenets of the faith, moral teaching of the Church, liturgy and prayer, the principles of social justice, the nature of life in community and of the Church’s mission in the world. It </w:t>
      </w:r>
      <w:r>
        <w:rPr>
          <w:sz w:val="24"/>
          <w:szCs w:val="24"/>
        </w:rPr>
        <w:t xml:space="preserve">refers </w:t>
      </w:r>
      <w:r w:rsidR="00E74F00">
        <w:rPr>
          <w:sz w:val="24"/>
          <w:szCs w:val="24"/>
        </w:rPr>
        <w:t>to a specialized vocabulary and uses theological language accurately and precisely. It enables students to effectively distinguish and use both primary and secondary sources, Religious literacy allows for overcoming cultural and religious intolerance for it recognizes the need to extend to faith traditions outside of Christianity. (Ontario Catholic Elementary Curriculum Policy Document for Religious Education, 2012, pp.49-50)</w:t>
      </w:r>
    </w:p>
    <w:p w:rsidR="0051126A" w:rsidRPr="00E74F00" w:rsidRDefault="00165369">
      <w:pPr>
        <w:rPr>
          <w:sz w:val="24"/>
          <w:szCs w:val="24"/>
        </w:rPr>
      </w:pPr>
      <w:r>
        <w:rPr>
          <w:sz w:val="24"/>
          <w:szCs w:val="24"/>
        </w:rPr>
        <w:t>T</w:t>
      </w:r>
      <w:r w:rsidR="0051126A" w:rsidRPr="0051126A">
        <w:rPr>
          <w:sz w:val="24"/>
          <w:szCs w:val="24"/>
        </w:rPr>
        <w:t xml:space="preserve">he diagram below to </w:t>
      </w:r>
      <w:proofErr w:type="gramStart"/>
      <w:r w:rsidR="0051126A" w:rsidRPr="0051126A">
        <w:rPr>
          <w:sz w:val="24"/>
          <w:szCs w:val="24"/>
        </w:rPr>
        <w:t>id</w:t>
      </w:r>
      <w:r>
        <w:rPr>
          <w:sz w:val="24"/>
          <w:szCs w:val="24"/>
        </w:rPr>
        <w:t>entifies</w:t>
      </w:r>
      <w:proofErr w:type="gramEnd"/>
      <w:r>
        <w:rPr>
          <w:sz w:val="24"/>
          <w:szCs w:val="24"/>
        </w:rPr>
        <w:t xml:space="preserve"> the 5 core skills of academic conversations.</w:t>
      </w:r>
    </w:p>
    <w:p w:rsidR="0051126A" w:rsidRDefault="0051126A" w:rsidP="0051126A">
      <w:pPr>
        <w:jc w:val="center"/>
      </w:pPr>
      <w:r>
        <w:rPr>
          <w:noProof/>
          <w:lang w:val="en-US"/>
        </w:rPr>
        <w:drawing>
          <wp:inline distT="0" distB="0" distL="0" distR="0">
            <wp:extent cx="3556845" cy="2183507"/>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_skills.jpg"/>
                    <pic:cNvPicPr/>
                  </pic:nvPicPr>
                  <pic:blipFill>
                    <a:blip r:embed="rId5">
                      <a:extLst>
                        <a:ext uri="{28A0092B-C50C-407E-A947-70E740481C1C}">
                          <a14:useLocalDpi xmlns:a14="http://schemas.microsoft.com/office/drawing/2010/main" val="0"/>
                        </a:ext>
                      </a:extLst>
                    </a:blip>
                    <a:stretch>
                      <a:fillRect/>
                    </a:stretch>
                  </pic:blipFill>
                  <pic:spPr>
                    <a:xfrm>
                      <a:off x="0" y="0"/>
                      <a:ext cx="3617782" cy="2220915"/>
                    </a:xfrm>
                    <a:prstGeom prst="rect">
                      <a:avLst/>
                    </a:prstGeom>
                  </pic:spPr>
                </pic:pic>
              </a:graphicData>
            </a:graphic>
          </wp:inline>
        </w:drawing>
      </w:r>
    </w:p>
    <w:p w:rsidR="0051126A" w:rsidRPr="0051126A" w:rsidRDefault="0051126A" w:rsidP="0051126A">
      <w:pPr>
        <w:jc w:val="center"/>
        <w:rPr>
          <w:rFonts w:cs="Arial"/>
          <w:i/>
          <w:iCs/>
          <w:sz w:val="24"/>
          <w:szCs w:val="24"/>
        </w:rPr>
      </w:pPr>
      <w:r>
        <w:rPr>
          <w:rFonts w:cs="Arial"/>
          <w:i/>
          <w:iCs/>
          <w:sz w:val="24"/>
          <w:szCs w:val="24"/>
        </w:rPr>
        <w:t xml:space="preserve">From: </w:t>
      </w:r>
      <w:r w:rsidRPr="0051126A">
        <w:rPr>
          <w:rFonts w:cs="Arial"/>
          <w:i/>
          <w:iCs/>
          <w:sz w:val="24"/>
          <w:szCs w:val="24"/>
        </w:rPr>
        <w:t>Academic Conversations: Classroom Talk that Fosters Critical Thinking across Disciplines</w:t>
      </w:r>
    </w:p>
    <w:p w:rsidR="0051126A" w:rsidRDefault="0051126A" w:rsidP="0051126A">
      <w:pPr>
        <w:jc w:val="center"/>
        <w:rPr>
          <w:rFonts w:cs="Arial"/>
          <w:sz w:val="24"/>
          <w:szCs w:val="24"/>
        </w:rPr>
      </w:pPr>
      <w:r>
        <w:rPr>
          <w:rFonts w:cs="Arial"/>
          <w:sz w:val="24"/>
          <w:szCs w:val="24"/>
        </w:rPr>
        <w:t xml:space="preserve"> (September 2011,</w:t>
      </w:r>
      <w:r w:rsidRPr="0051126A">
        <w:rPr>
          <w:rFonts w:cs="Arial"/>
          <w:sz w:val="24"/>
          <w:szCs w:val="24"/>
        </w:rPr>
        <w:t xml:space="preserve"> </w:t>
      </w:r>
      <w:proofErr w:type="spellStart"/>
      <w:r w:rsidRPr="0051126A">
        <w:rPr>
          <w:rFonts w:cs="Arial"/>
          <w:sz w:val="24"/>
          <w:szCs w:val="24"/>
        </w:rPr>
        <w:t>Stenhouse</w:t>
      </w:r>
      <w:proofErr w:type="spellEnd"/>
      <w:r>
        <w:rPr>
          <w:rFonts w:cs="Arial"/>
          <w:sz w:val="24"/>
          <w:szCs w:val="24"/>
        </w:rPr>
        <w:t xml:space="preserve"> Publishing)</w:t>
      </w:r>
    </w:p>
    <w:p w:rsidR="0051126A" w:rsidRDefault="0051126A" w:rsidP="0051126A">
      <w:pPr>
        <w:jc w:val="center"/>
        <w:rPr>
          <w:rFonts w:cs="Arial"/>
          <w:sz w:val="24"/>
          <w:szCs w:val="24"/>
        </w:rPr>
      </w:pPr>
    </w:p>
    <w:p w:rsidR="0051126A" w:rsidRDefault="0051126A" w:rsidP="0051126A">
      <w:pPr>
        <w:jc w:val="both"/>
        <w:rPr>
          <w:sz w:val="24"/>
          <w:szCs w:val="24"/>
        </w:rPr>
      </w:pPr>
      <w:r w:rsidRPr="0051126A">
        <w:rPr>
          <w:sz w:val="24"/>
          <w:szCs w:val="24"/>
        </w:rPr>
        <w:t>PowerPoint presentations are located on</w:t>
      </w:r>
      <w:r>
        <w:rPr>
          <w:sz w:val="24"/>
          <w:szCs w:val="24"/>
        </w:rPr>
        <w:t xml:space="preserve"> </w:t>
      </w:r>
      <w:proofErr w:type="spellStart"/>
      <w:r>
        <w:rPr>
          <w:sz w:val="24"/>
          <w:szCs w:val="24"/>
        </w:rPr>
        <w:t>Docushare</w:t>
      </w:r>
      <w:proofErr w:type="spellEnd"/>
      <w:r>
        <w:rPr>
          <w:sz w:val="24"/>
          <w:szCs w:val="24"/>
        </w:rPr>
        <w:t>. The toggles needed are:</w:t>
      </w:r>
    </w:p>
    <w:p w:rsidR="0051126A" w:rsidRDefault="0051126A" w:rsidP="00E74F00">
      <w:pPr>
        <w:jc w:val="center"/>
        <w:rPr>
          <w:sz w:val="24"/>
          <w:szCs w:val="24"/>
        </w:rPr>
      </w:pPr>
      <w:proofErr w:type="spellStart"/>
      <w:r>
        <w:rPr>
          <w:sz w:val="24"/>
          <w:szCs w:val="24"/>
        </w:rPr>
        <w:t>DocuShare</w:t>
      </w:r>
      <w:proofErr w:type="spellEnd"/>
      <w:r>
        <w:rPr>
          <w:sz w:val="24"/>
          <w:szCs w:val="24"/>
        </w:rPr>
        <w:t>&gt;</w:t>
      </w:r>
      <w:proofErr w:type="spellStart"/>
      <w:r>
        <w:rPr>
          <w:sz w:val="24"/>
          <w:szCs w:val="24"/>
        </w:rPr>
        <w:t>FaithFormation</w:t>
      </w:r>
      <w:proofErr w:type="spellEnd"/>
      <w:r>
        <w:rPr>
          <w:sz w:val="24"/>
          <w:szCs w:val="24"/>
        </w:rPr>
        <w:t>&gt;</w:t>
      </w:r>
      <w:proofErr w:type="spellStart"/>
      <w:r>
        <w:rPr>
          <w:sz w:val="24"/>
          <w:szCs w:val="24"/>
        </w:rPr>
        <w:t>ConclaveLessons&amp;</w:t>
      </w:r>
      <w:r w:rsidRPr="0051126A">
        <w:rPr>
          <w:sz w:val="24"/>
          <w:szCs w:val="24"/>
        </w:rPr>
        <w:t>Resources</w:t>
      </w:r>
      <w:proofErr w:type="spellEnd"/>
      <w:r w:rsidRPr="0051126A">
        <w:rPr>
          <w:sz w:val="24"/>
          <w:szCs w:val="24"/>
        </w:rPr>
        <w:t xml:space="preserve">:  </w:t>
      </w:r>
      <w:hyperlink r:id="rId6" w:history="1">
        <w:r w:rsidRPr="0051126A">
          <w:rPr>
            <w:rStyle w:val="Hyperlink"/>
            <w:sz w:val="24"/>
            <w:szCs w:val="24"/>
          </w:rPr>
          <w:t>https://docushare.ncdsb.com/dsweb/View/Collection-382146/Document-1325908</w:t>
        </w:r>
      </w:hyperlink>
    </w:p>
    <w:p w:rsidR="00E74F00" w:rsidRDefault="00E74F00" w:rsidP="00E74F00">
      <w:pPr>
        <w:shd w:val="clear" w:color="auto" w:fill="D9D9D9" w:themeFill="background1" w:themeFillShade="D9"/>
        <w:jc w:val="center"/>
        <w:rPr>
          <w:sz w:val="24"/>
          <w:szCs w:val="24"/>
        </w:rPr>
      </w:pPr>
    </w:p>
    <w:tbl>
      <w:tblPr>
        <w:tblStyle w:val="TableGrid"/>
        <w:tblW w:w="0" w:type="auto"/>
        <w:tblLook w:val="04A0" w:firstRow="1" w:lastRow="0" w:firstColumn="1" w:lastColumn="0" w:noHBand="0" w:noVBand="1"/>
      </w:tblPr>
      <w:tblGrid>
        <w:gridCol w:w="3116"/>
        <w:gridCol w:w="6234"/>
      </w:tblGrid>
      <w:tr w:rsidR="00E74F00" w:rsidTr="00996497">
        <w:tc>
          <w:tcPr>
            <w:tcW w:w="3116" w:type="dxa"/>
          </w:tcPr>
          <w:p w:rsidR="00E74F00" w:rsidRDefault="00E74F00" w:rsidP="00E74F00">
            <w:pPr>
              <w:shd w:val="clear" w:color="auto" w:fill="D9D9D9" w:themeFill="background1" w:themeFillShade="D9"/>
              <w:jc w:val="both"/>
              <w:rPr>
                <w:sz w:val="24"/>
                <w:szCs w:val="24"/>
              </w:rPr>
            </w:pPr>
            <w:proofErr w:type="spellStart"/>
            <w:r>
              <w:rPr>
                <w:sz w:val="24"/>
                <w:szCs w:val="24"/>
              </w:rPr>
              <w:t>Powerpoint</w:t>
            </w:r>
            <w:proofErr w:type="spellEnd"/>
            <w:r>
              <w:rPr>
                <w:sz w:val="24"/>
                <w:szCs w:val="24"/>
              </w:rPr>
              <w:t xml:space="preserve"> Title</w:t>
            </w:r>
          </w:p>
        </w:tc>
        <w:tc>
          <w:tcPr>
            <w:tcW w:w="6234" w:type="dxa"/>
          </w:tcPr>
          <w:p w:rsidR="00E74F00" w:rsidRDefault="00E74F00" w:rsidP="00E74F00">
            <w:pPr>
              <w:shd w:val="clear" w:color="auto" w:fill="D9D9D9" w:themeFill="background1" w:themeFillShade="D9"/>
              <w:jc w:val="both"/>
              <w:rPr>
                <w:sz w:val="24"/>
                <w:szCs w:val="24"/>
              </w:rPr>
            </w:pPr>
            <w:r>
              <w:rPr>
                <w:sz w:val="24"/>
                <w:szCs w:val="24"/>
              </w:rPr>
              <w:t>Recommended Audience</w:t>
            </w:r>
          </w:p>
        </w:tc>
      </w:tr>
      <w:tr w:rsidR="00E74F00" w:rsidTr="00D04BC1">
        <w:tc>
          <w:tcPr>
            <w:tcW w:w="3116" w:type="dxa"/>
          </w:tcPr>
          <w:p w:rsidR="00E74F00" w:rsidRDefault="00E74F00" w:rsidP="0051126A">
            <w:pPr>
              <w:jc w:val="both"/>
              <w:rPr>
                <w:sz w:val="24"/>
                <w:szCs w:val="24"/>
              </w:rPr>
            </w:pPr>
            <w:r>
              <w:rPr>
                <w:sz w:val="24"/>
                <w:szCs w:val="24"/>
              </w:rPr>
              <w:t>Electing a New Pope</w:t>
            </w:r>
          </w:p>
        </w:tc>
        <w:tc>
          <w:tcPr>
            <w:tcW w:w="6234" w:type="dxa"/>
          </w:tcPr>
          <w:p w:rsidR="00E74F00" w:rsidRDefault="00E74F00" w:rsidP="0051126A">
            <w:pPr>
              <w:jc w:val="both"/>
              <w:rPr>
                <w:sz w:val="24"/>
                <w:szCs w:val="24"/>
              </w:rPr>
            </w:pPr>
            <w:r>
              <w:rPr>
                <w:sz w:val="24"/>
                <w:szCs w:val="24"/>
              </w:rPr>
              <w:t>Junior, Intermediate, Senior, Adult</w:t>
            </w:r>
          </w:p>
        </w:tc>
      </w:tr>
      <w:tr w:rsidR="00E74F00" w:rsidTr="00087FA7">
        <w:tc>
          <w:tcPr>
            <w:tcW w:w="3116" w:type="dxa"/>
          </w:tcPr>
          <w:p w:rsidR="00E74F00" w:rsidRDefault="00E74F00" w:rsidP="0051126A">
            <w:pPr>
              <w:jc w:val="both"/>
              <w:rPr>
                <w:sz w:val="24"/>
                <w:szCs w:val="24"/>
              </w:rPr>
            </w:pPr>
            <w:r>
              <w:rPr>
                <w:sz w:val="24"/>
                <w:szCs w:val="24"/>
              </w:rPr>
              <w:t>Conclave 2013</w:t>
            </w:r>
          </w:p>
        </w:tc>
        <w:tc>
          <w:tcPr>
            <w:tcW w:w="6234" w:type="dxa"/>
          </w:tcPr>
          <w:p w:rsidR="00E74F00" w:rsidRDefault="00E74F00" w:rsidP="0051126A">
            <w:pPr>
              <w:jc w:val="both"/>
              <w:rPr>
                <w:sz w:val="24"/>
                <w:szCs w:val="24"/>
              </w:rPr>
            </w:pPr>
            <w:r>
              <w:rPr>
                <w:sz w:val="24"/>
                <w:szCs w:val="24"/>
              </w:rPr>
              <w:t>Primary, Junior</w:t>
            </w:r>
          </w:p>
        </w:tc>
      </w:tr>
      <w:tr w:rsidR="00E74F00" w:rsidTr="00BE293A">
        <w:tc>
          <w:tcPr>
            <w:tcW w:w="3116" w:type="dxa"/>
          </w:tcPr>
          <w:p w:rsidR="00E74F00" w:rsidRDefault="00E74F00" w:rsidP="0051126A">
            <w:pPr>
              <w:jc w:val="both"/>
              <w:rPr>
                <w:sz w:val="24"/>
                <w:szCs w:val="24"/>
              </w:rPr>
            </w:pPr>
            <w:r>
              <w:rPr>
                <w:sz w:val="24"/>
                <w:szCs w:val="24"/>
              </w:rPr>
              <w:t>Contenders</w:t>
            </w:r>
          </w:p>
        </w:tc>
        <w:tc>
          <w:tcPr>
            <w:tcW w:w="6234" w:type="dxa"/>
          </w:tcPr>
          <w:p w:rsidR="00E74F00" w:rsidRDefault="00E74F00" w:rsidP="0051126A">
            <w:pPr>
              <w:jc w:val="both"/>
              <w:rPr>
                <w:sz w:val="24"/>
                <w:szCs w:val="24"/>
              </w:rPr>
            </w:pPr>
            <w:r>
              <w:rPr>
                <w:sz w:val="24"/>
                <w:szCs w:val="24"/>
              </w:rPr>
              <w:t>Intermediate, Senior, Adults</w:t>
            </w:r>
          </w:p>
        </w:tc>
      </w:tr>
    </w:tbl>
    <w:p w:rsidR="0051126A" w:rsidRPr="0051126A" w:rsidRDefault="0051126A" w:rsidP="0051126A">
      <w:pPr>
        <w:jc w:val="both"/>
        <w:rPr>
          <w:sz w:val="24"/>
          <w:szCs w:val="24"/>
        </w:rPr>
      </w:pPr>
    </w:p>
    <w:p w:rsidR="0051126A" w:rsidRPr="0051126A" w:rsidRDefault="0051126A" w:rsidP="0051126A">
      <w:pPr>
        <w:jc w:val="both"/>
        <w:rPr>
          <w:sz w:val="24"/>
          <w:szCs w:val="24"/>
        </w:rPr>
      </w:pPr>
    </w:p>
    <w:p w:rsidR="0051126A" w:rsidRPr="0051126A" w:rsidRDefault="0051126A" w:rsidP="0051126A">
      <w:pPr>
        <w:jc w:val="center"/>
        <w:rPr>
          <w:sz w:val="24"/>
          <w:szCs w:val="24"/>
        </w:rPr>
      </w:pPr>
    </w:p>
    <w:p w:rsidR="0051126A" w:rsidRDefault="0051126A" w:rsidP="0051126A">
      <w:pPr>
        <w:jc w:val="center"/>
      </w:pPr>
    </w:p>
    <w:p w:rsidR="0051126A" w:rsidRDefault="0051126A" w:rsidP="0051126A"/>
    <w:sectPr w:rsidR="005112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6A"/>
    <w:rsid w:val="001266D7"/>
    <w:rsid w:val="00165369"/>
    <w:rsid w:val="004179CB"/>
    <w:rsid w:val="00417B93"/>
    <w:rsid w:val="0049458C"/>
    <w:rsid w:val="0051126A"/>
    <w:rsid w:val="00565CB8"/>
    <w:rsid w:val="007631A1"/>
    <w:rsid w:val="008D0449"/>
    <w:rsid w:val="009451A4"/>
    <w:rsid w:val="009808F6"/>
    <w:rsid w:val="00A8388C"/>
    <w:rsid w:val="00BC5A23"/>
    <w:rsid w:val="00C950C9"/>
    <w:rsid w:val="00CD799A"/>
    <w:rsid w:val="00E74F00"/>
    <w:rsid w:val="00E916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126A"/>
    <w:rPr>
      <w:color w:val="0000FF"/>
      <w:u w:val="single"/>
    </w:rPr>
  </w:style>
  <w:style w:type="character" w:styleId="FollowedHyperlink">
    <w:name w:val="FollowedHyperlink"/>
    <w:basedOn w:val="DefaultParagraphFont"/>
    <w:uiPriority w:val="99"/>
    <w:semiHidden/>
    <w:unhideWhenUsed/>
    <w:rsid w:val="0051126A"/>
    <w:rPr>
      <w:color w:val="954F72" w:themeColor="followedHyperlink"/>
      <w:u w:val="single"/>
    </w:rPr>
  </w:style>
  <w:style w:type="table" w:styleId="TableGrid">
    <w:name w:val="Table Grid"/>
    <w:basedOn w:val="TableNormal"/>
    <w:uiPriority w:val="39"/>
    <w:rsid w:val="00511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1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126A"/>
    <w:rPr>
      <w:color w:val="0000FF"/>
      <w:u w:val="single"/>
    </w:rPr>
  </w:style>
  <w:style w:type="character" w:styleId="FollowedHyperlink">
    <w:name w:val="FollowedHyperlink"/>
    <w:basedOn w:val="DefaultParagraphFont"/>
    <w:uiPriority w:val="99"/>
    <w:semiHidden/>
    <w:unhideWhenUsed/>
    <w:rsid w:val="0051126A"/>
    <w:rPr>
      <w:color w:val="954F72" w:themeColor="followedHyperlink"/>
      <w:u w:val="single"/>
    </w:rPr>
  </w:style>
  <w:style w:type="table" w:styleId="TableGrid">
    <w:name w:val="Table Grid"/>
    <w:basedOn w:val="TableNormal"/>
    <w:uiPriority w:val="39"/>
    <w:rsid w:val="00511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1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ushare.ncdsb.com/dsweb/View/Collection-382146/Document-1325908"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Pauco</dc:creator>
  <cp:keywords/>
  <dc:description/>
  <cp:lastModifiedBy>McCaffery, Debra</cp:lastModifiedBy>
  <cp:revision>2</cp:revision>
  <dcterms:created xsi:type="dcterms:W3CDTF">2013-02-25T05:01:00Z</dcterms:created>
  <dcterms:modified xsi:type="dcterms:W3CDTF">2013-02-25T05:01:00Z</dcterms:modified>
</cp:coreProperties>
</file>